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D9" w:rsidRPr="00D14E3E" w:rsidRDefault="00D14E3E" w:rsidP="00EA64D9">
      <w:pPr>
        <w:spacing w:after="0" w:line="256" w:lineRule="auto"/>
        <w:ind w:left="0" w:right="0" w:firstLine="0"/>
        <w:jc w:val="left"/>
        <w:rPr>
          <w:rFonts w:ascii="Arial" w:hAnsi="Arial" w:cs="Arial"/>
          <w:b/>
          <w:lang/>
        </w:rPr>
      </w:pPr>
      <w:r w:rsidRPr="00D14E3E">
        <w:rPr>
          <w:rFonts w:ascii="Arial" w:hAnsi="Arial" w:cs="Arial"/>
          <w:b/>
          <w:lang/>
        </w:rPr>
        <w:t>Извод из правилника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Предаја мастер рада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42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завршеној изради мастер рада, студент предаје студентској служби завршни рад од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15.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месецу. </w:t>
      </w:r>
      <w:proofErr w:type="gramStart"/>
      <w:r>
        <w:rPr>
          <w:rFonts w:ascii="Arial" w:hAnsi="Arial" w:cs="Arial"/>
        </w:rPr>
        <w:t>Мастер рад се предаје у четири примерка штампане верзије и једној електронској верзији (CD).</w:t>
      </w:r>
      <w:proofErr w:type="gramEnd"/>
      <w:r>
        <w:rPr>
          <w:rFonts w:ascii="Arial" w:hAnsi="Arial" w:cs="Arial"/>
        </w:rPr>
        <w:t xml:space="preserve"> 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Мастер рад се предаје у тврдом повезу.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Електронска верзија</w:t>
      </w:r>
      <w:r w:rsidR="00D14E3E">
        <w:rPr>
          <w:rFonts w:ascii="Arial" w:hAnsi="Arial" w:cs="Arial"/>
          <w:lang/>
        </w:rPr>
        <w:t xml:space="preserve"> у ПДФ формату</w:t>
      </w:r>
      <w:r>
        <w:rPr>
          <w:rFonts w:ascii="Arial" w:hAnsi="Arial" w:cs="Arial"/>
        </w:rPr>
        <w:t xml:space="preserve"> завршног рада мора бити обликована тако да буде пресликана штампана верзија завршног рада, заједно с насловном страницом, садржајем и припадајућим прилозима.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Студентска служба ће, након што утврди да је студент положио све прописане испите и испунио све наставне, финансијске и друге обвезе, по један примерак завршног рада проследити ментору и осталим члановима Комисије.</w:t>
      </w:r>
      <w:proofErr w:type="gramEnd"/>
      <w:r>
        <w:rPr>
          <w:rFonts w:ascii="Arial" w:hAnsi="Arial" w:cs="Arial"/>
        </w:rPr>
        <w:t xml:space="preserve"> 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Саставни делови мастер рада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43 </w:t>
      </w:r>
    </w:p>
    <w:p w:rsidR="00EA64D9" w:rsidRDefault="00EA64D9" w:rsidP="00EA64D9">
      <w:pPr>
        <w:spacing w:after="108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Мастер рад садржи следеће целине: Увод, Теоријски део, Експериментални део, Резултати и дискусија, Закључак, Преглед литературе, Прилози. </w:t>
      </w:r>
    </w:p>
    <w:p w:rsidR="00EA64D9" w:rsidRDefault="00EA64D9" w:rsidP="00EA64D9">
      <w:pPr>
        <w:spacing w:after="98" w:line="256" w:lineRule="auto"/>
        <w:ind w:left="45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44 </w:t>
      </w:r>
    </w:p>
    <w:p w:rsidR="00EA64D9" w:rsidRDefault="00EA64D9" w:rsidP="00EA64D9">
      <w:pPr>
        <w:spacing w:after="51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Мастер рад састоји се од: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корица завршног рада  </w:t>
      </w:r>
    </w:p>
    <w:p w:rsidR="00EA64D9" w:rsidRDefault="00EA64D9" w:rsidP="00EA64D9">
      <w:pPr>
        <w:numPr>
          <w:ilvl w:val="0"/>
          <w:numId w:val="1"/>
        </w:numPr>
        <w:spacing w:after="26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празног листа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друге унутрашње странице 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сажетка завршног рада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садржаја </w:t>
      </w:r>
    </w:p>
    <w:p w:rsidR="00EA64D9" w:rsidRDefault="00EA64D9" w:rsidP="00EA64D9">
      <w:pPr>
        <w:numPr>
          <w:ilvl w:val="0"/>
          <w:numId w:val="1"/>
        </w:numPr>
        <w:spacing w:after="28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увода </w:t>
      </w:r>
    </w:p>
    <w:p w:rsidR="00EA64D9" w:rsidRDefault="00EA64D9" w:rsidP="00EA64D9">
      <w:pPr>
        <w:numPr>
          <w:ilvl w:val="0"/>
          <w:numId w:val="1"/>
        </w:numPr>
        <w:spacing w:after="25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разраде теме (теоријски део и експериментални)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резултати и дискусија </w:t>
      </w:r>
    </w:p>
    <w:p w:rsidR="00EA64D9" w:rsidRDefault="00EA64D9" w:rsidP="00EA64D9">
      <w:pPr>
        <w:numPr>
          <w:ilvl w:val="0"/>
          <w:numId w:val="1"/>
        </w:numPr>
        <w:spacing w:after="28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закључак </w:t>
      </w:r>
    </w:p>
    <w:p w:rsidR="00EA64D9" w:rsidRDefault="00EA64D9" w:rsidP="00EA64D9">
      <w:pPr>
        <w:numPr>
          <w:ilvl w:val="0"/>
          <w:numId w:val="1"/>
        </w:numPr>
        <w:spacing w:after="3" w:line="266" w:lineRule="auto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пописа литературе и других извора података који су коришћени у раду </w:t>
      </w:r>
    </w:p>
    <w:p w:rsidR="00EA64D9" w:rsidRDefault="00EA64D9" w:rsidP="00EA64D9">
      <w:pPr>
        <w:numPr>
          <w:ilvl w:val="0"/>
          <w:numId w:val="1"/>
        </w:numPr>
        <w:spacing w:after="3" w:line="266" w:lineRule="auto"/>
        <w:ind w:right="0" w:hanging="3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пописа</w:t>
      </w:r>
      <w:proofErr w:type="gramEnd"/>
      <w:r>
        <w:rPr>
          <w:rFonts w:ascii="Arial" w:hAnsi="Arial" w:cs="Arial"/>
        </w:rPr>
        <w:t xml:space="preserve"> таблица, графикона, шема, фотографија и др. </w:t>
      </w:r>
    </w:p>
    <w:p w:rsidR="00EA64D9" w:rsidRDefault="00EA64D9" w:rsidP="00EA64D9">
      <w:pPr>
        <w:numPr>
          <w:ilvl w:val="0"/>
          <w:numId w:val="1"/>
        </w:numPr>
        <w:spacing w:after="3" w:line="266" w:lineRule="auto"/>
        <w:ind w:right="0" w:hanging="3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пописа</w:t>
      </w:r>
      <w:proofErr w:type="gramEnd"/>
      <w:r>
        <w:rPr>
          <w:rFonts w:ascii="Arial" w:hAnsi="Arial" w:cs="Arial"/>
        </w:rPr>
        <w:t xml:space="preserve"> прилога ако постоје.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Pr="00D14E3E" w:rsidRDefault="00EA64D9" w:rsidP="00EA64D9">
      <w:pPr>
        <w:spacing w:after="226"/>
        <w:ind w:left="-5" w:right="0"/>
        <w:rPr>
          <w:rFonts w:ascii="Arial" w:hAnsi="Arial" w:cs="Arial"/>
          <w:b/>
        </w:rPr>
      </w:pPr>
      <w:r w:rsidRPr="00D14E3E">
        <w:rPr>
          <w:rFonts w:ascii="Arial" w:hAnsi="Arial" w:cs="Arial"/>
          <w:b/>
        </w:rPr>
        <w:t xml:space="preserve">Изглед корица мастер рада и друге унутрашње странице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45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Мастер рад се обавезно укоричује у тврде корице.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52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На корицама се обавезно исписују следећи подаци: </w:t>
      </w:r>
    </w:p>
    <w:p w:rsidR="00EA64D9" w:rsidRDefault="00D14E3E" w:rsidP="00EA64D9">
      <w:pPr>
        <w:numPr>
          <w:ilvl w:val="0"/>
          <w:numId w:val="1"/>
        </w:numPr>
        <w:spacing w:after="26"/>
        <w:ind w:right="0" w:hanging="362"/>
        <w:rPr>
          <w:rFonts w:ascii="Arial" w:hAnsi="Arial" w:cs="Arial"/>
        </w:rPr>
      </w:pPr>
      <w:r>
        <w:rPr>
          <w:rFonts w:ascii="Arial" w:hAnsi="Arial" w:cs="Arial"/>
          <w:lang/>
        </w:rPr>
        <w:t>Академија васпитачко-медицинских струковних студија, одсек Крушевац</w:t>
      </w:r>
      <w:r w:rsidR="00EA64D9">
        <w:rPr>
          <w:rFonts w:ascii="Arial" w:hAnsi="Arial" w:cs="Arial"/>
        </w:rPr>
        <w:t xml:space="preserve"> </w:t>
      </w:r>
    </w:p>
    <w:p w:rsidR="00D14E3E" w:rsidRDefault="00D14E3E" w:rsidP="00D14E3E">
      <w:pPr>
        <w:numPr>
          <w:ilvl w:val="0"/>
          <w:numId w:val="1"/>
        </w:numPr>
        <w:spacing w:after="25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име и презиме студента </w:t>
      </w:r>
    </w:p>
    <w:p w:rsidR="00D14E3E" w:rsidRDefault="00D14E3E" w:rsidP="00D14E3E">
      <w:pPr>
        <w:numPr>
          <w:ilvl w:val="0"/>
          <w:numId w:val="1"/>
        </w:numPr>
        <w:spacing w:after="181" w:line="266" w:lineRule="auto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наслов завршног рада </w:t>
      </w:r>
    </w:p>
    <w:p w:rsidR="00D14E3E" w:rsidRDefault="00D14E3E" w:rsidP="00D14E3E">
      <w:pPr>
        <w:numPr>
          <w:ilvl w:val="0"/>
          <w:numId w:val="1"/>
        </w:numPr>
        <w:spacing w:after="181" w:line="266" w:lineRule="auto"/>
        <w:ind w:right="0" w:hanging="362"/>
        <w:rPr>
          <w:rFonts w:ascii="Arial" w:hAnsi="Arial" w:cs="Arial"/>
        </w:rPr>
      </w:pPr>
      <w:r>
        <w:rPr>
          <w:rFonts w:ascii="Arial" w:hAnsi="Arial" w:cs="Arial"/>
          <w:lang/>
        </w:rPr>
        <w:t>мастер</w:t>
      </w:r>
      <w:r>
        <w:rPr>
          <w:rFonts w:ascii="Arial" w:hAnsi="Arial" w:cs="Arial"/>
        </w:rPr>
        <w:t xml:space="preserve"> рад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EA64D9" w:rsidRDefault="00EA64D9" w:rsidP="00EA64D9">
      <w:pPr>
        <w:numPr>
          <w:ilvl w:val="0"/>
          <w:numId w:val="1"/>
        </w:numPr>
        <w:spacing w:after="181" w:line="266" w:lineRule="auto"/>
        <w:ind w:right="0" w:hanging="362"/>
        <w:rPr>
          <w:rFonts w:ascii="Arial" w:hAnsi="Arial" w:cs="Arial"/>
        </w:rPr>
      </w:pPr>
      <w:r>
        <w:rPr>
          <w:rFonts w:ascii="Arial" w:eastAsia="Arial" w:hAnsi="Arial" w:cs="Arial"/>
        </w:rPr>
        <w:t>Крушевац</w:t>
      </w:r>
      <w:r>
        <w:rPr>
          <w:rFonts w:ascii="Arial" w:hAnsi="Arial" w:cs="Arial"/>
        </w:rPr>
        <w:t xml:space="preserve">, година. </w:t>
      </w:r>
    </w:p>
    <w:p w:rsidR="00EA64D9" w:rsidRDefault="00EA64D9" w:rsidP="00EA64D9">
      <w:pPr>
        <w:spacing w:after="0" w:line="256" w:lineRule="auto"/>
        <w:ind w:left="45" w:righ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46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Прва унутрашња страница остаје празна.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52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На другој унутрашњој страници исписују се следећи подаци: </w:t>
      </w:r>
    </w:p>
    <w:p w:rsidR="00D14E3E" w:rsidRDefault="00D14E3E" w:rsidP="00D14E3E">
      <w:pPr>
        <w:numPr>
          <w:ilvl w:val="0"/>
          <w:numId w:val="1"/>
        </w:numPr>
        <w:spacing w:after="26"/>
        <w:ind w:right="0" w:hanging="362"/>
        <w:rPr>
          <w:rFonts w:ascii="Arial" w:hAnsi="Arial" w:cs="Arial"/>
        </w:rPr>
      </w:pPr>
      <w:r>
        <w:rPr>
          <w:rFonts w:ascii="Arial" w:hAnsi="Arial" w:cs="Arial"/>
          <w:lang/>
        </w:rPr>
        <w:t>Академија васпитачко-медицинских струковних студија, одсек Крушевац</w:t>
      </w: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numPr>
          <w:ilvl w:val="0"/>
          <w:numId w:val="1"/>
        </w:numPr>
        <w:spacing w:after="25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назив студијског програма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наслов мастер рада </w:t>
      </w:r>
    </w:p>
    <w:p w:rsidR="00EA64D9" w:rsidRDefault="00EA64D9" w:rsidP="00EA64D9">
      <w:pPr>
        <w:numPr>
          <w:ilvl w:val="0"/>
          <w:numId w:val="1"/>
        </w:numPr>
        <w:spacing w:after="28"/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мастер рад </w:t>
      </w:r>
    </w:p>
    <w:p w:rsidR="00EA64D9" w:rsidRDefault="00EA64D9" w:rsidP="00EA64D9">
      <w:pPr>
        <w:numPr>
          <w:ilvl w:val="0"/>
          <w:numId w:val="1"/>
        </w:numPr>
        <w:spacing w:after="55"/>
        <w:ind w:right="0" w:hanging="3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име</w:t>
      </w:r>
      <w:proofErr w:type="gramEnd"/>
      <w:r>
        <w:rPr>
          <w:rFonts w:ascii="Arial" w:hAnsi="Arial" w:cs="Arial"/>
        </w:rPr>
        <w:t xml:space="preserve"> и презиме ментора, име и презиме студента и његов број индекса на десној страни, а све у истом нивоу. </w:t>
      </w:r>
    </w:p>
    <w:p w:rsidR="00EA64D9" w:rsidRDefault="00EA64D9" w:rsidP="00EA64D9">
      <w:pPr>
        <w:numPr>
          <w:ilvl w:val="0"/>
          <w:numId w:val="1"/>
        </w:numPr>
        <w:ind w:right="0" w:hanging="362"/>
        <w:rPr>
          <w:rFonts w:ascii="Arial" w:hAnsi="Arial" w:cs="Arial"/>
        </w:rPr>
      </w:pPr>
      <w:r>
        <w:rPr>
          <w:rFonts w:ascii="Arial" w:hAnsi="Arial" w:cs="Arial"/>
        </w:rPr>
        <w:t xml:space="preserve">Крушевац, месец, година.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Сажетак рада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47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Сажетак рада укратко износи преглед, односно садржај целокупне изложене тематике.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266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Сажетак се пише у једном одломку и обухвата највише 200 речи.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На крају сажетка наводе се кључне речи у раду (највише пет).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Садржај мастер рада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48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Садржај рада представља бројчано-текстуални преглед делова и подделова завршног рада помоћу којег је могуће пронаћи странице на којима су ти делови и подделови написани.</w:t>
      </w:r>
      <w:proofErr w:type="gramEnd"/>
      <w:r>
        <w:rPr>
          <w:rFonts w:ascii="Arial" w:hAnsi="Arial" w:cs="Arial"/>
        </w:rPr>
        <w:t xml:space="preserve"> Наслов “садржај</w:t>
      </w:r>
      <w:proofErr w:type="gramStart"/>
      <w:r>
        <w:rPr>
          <w:rFonts w:ascii="Arial" w:hAnsi="Arial" w:cs="Arial"/>
        </w:rPr>
        <w:t>“ треба</w:t>
      </w:r>
      <w:proofErr w:type="gramEnd"/>
      <w:r>
        <w:rPr>
          <w:rFonts w:ascii="Arial" w:hAnsi="Arial" w:cs="Arial"/>
        </w:rPr>
        <w:t xml:space="preserve"> да буде написан великим словима у левом углу на врху странице.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Увод мастер рада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49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Увод је почетни део мастер рада.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Увод треба да уведе читаоца у подручје тематике завршног рада, да га упозна с проблемом и предметом завршног рада, сврхом и циљевима, као и структуром мастер рада.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 уводу се не наводе туђи цитати.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Увод обавезно садржи задатак мастер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4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Разрада теме мастер рада (теоријски део и експериментални)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50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Разрада теме завршног рада део је завршног рада у којем студент треба да разради задату тему која је дефинисана задатком.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Резултати и дискусија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51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Резултати истраживања део су рада који оправдава смисао спровођења истраживања писања рада.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Приказивање резултата захтева јасно разграничавање резултата од њиховог тумачења.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Тумачење резултата је, такође, саставни део главног дела рада.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Обично је насловљено као Дискусија, а понекад је испреплетано са резултатима.</w:t>
      </w:r>
      <w:proofErr w:type="gramEnd"/>
      <w:r>
        <w:rPr>
          <w:rFonts w:ascii="Arial" w:hAnsi="Arial" w:cs="Arial"/>
        </w:rPr>
        <w:t xml:space="preserve"> 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У приказу резултата бира се један начин приказивања одређеног податка као основи и избегава се вишеструко приказивање и табелама, и речима, и графиконима...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Закључак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52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Закључак је завршни део мастер рада у коме се на концизан и језгровит начин даје приказ релевантних сазнања, информација, чињеница и ставова који су опширније разрађени у самој разради завршног задатка.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Делови закључка формулишу се хронолошки према структури завршног рада.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 закључку се не наводе туђи цитати, нити се износе нове информације.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4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Попис литературе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53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Попис литературе обухвата све изворе које је студент користио при изради завршног рада, а наводи се на крају рада (после закључка) без броја поглавља.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Уређује се абецедним редом презимена аутора, хронолошки за радове истог аутора.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Попис табела, графикона, шема, фотографија и др.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54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Попис свих табела, графикона, шема, фотографија и др.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долази</w:t>
      </w:r>
      <w:proofErr w:type="gramEnd"/>
      <w:r>
        <w:rPr>
          <w:rFonts w:ascii="Arial" w:hAnsi="Arial" w:cs="Arial"/>
        </w:rPr>
        <w:t xml:space="preserve"> на крају рада без нумерисања наслова.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338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pStyle w:val="Heading2"/>
        <w:spacing w:after="34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5.3 Техничко уређивање текста завршног рада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Начин писања завршног рада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55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Завршни рад пише се на српском језику, на папиру А 4 формата, а текст се пише у Times New Roman, ћирилица, фонт величине 12 с једним и по (1,5) редом размака, поравнан с обе стране с маргинама од 30 мм горе, доле и лево и 20 мм десно.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 одвајање одломака користи се двоструки размак.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Одломци се пишу с увученим првим редом.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3" w:line="266" w:lineRule="auto"/>
        <w:ind w:right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Наслови поглавља пишу се словима величине 14, а морају бити кратки и јасни и редом нумерисани арапским бројевима.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Поглавља могу имати и потпоглавља која се обавезно нумеришу припадајућим бројем нивоа нумерисања.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Пример: 1.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2.1.1.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2.1.2. </w:t>
      </w:r>
      <w:proofErr w:type="gramStart"/>
      <w:r>
        <w:rPr>
          <w:rFonts w:ascii="Arial" w:hAnsi="Arial" w:cs="Arial"/>
        </w:rPr>
        <w:t>итд</w:t>
      </w:r>
      <w:proofErr w:type="gramEnd"/>
      <w:r>
        <w:rPr>
          <w:rFonts w:ascii="Arial" w:hAnsi="Arial" w:cs="Arial"/>
        </w:rPr>
        <w:t xml:space="preserve">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 у тексту завршног рада обавезно и на уобичајен начин цитира или интерпретира коришћену литературу.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Изворе цитираних делова текста наводи се у оквиру текста, а не у фуснотама.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Извори се наводе у заградама у скраћеном облику и садрже презиме аутора и годину издања.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Целовити подаци о изворима налазе се у попису литературе.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Белешке служе само за додатна појашњења основног текста, а не као позив на коришћену литературу.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Белешка се означава на дну странице у континуитету кроз цели рад, арапским бројевима почевши од броја 1.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Коришћење табела, графикона, шема и фотографија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56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 у завршном раду може користити табеле, графиконе, шеме, фотографије и сл.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Табеле долазе унутар текста, а нумеришу се у континуитету арапским бројевима (нпр.</w:t>
      </w:r>
      <w:proofErr w:type="gramEnd"/>
      <w:r>
        <w:rPr>
          <w:rFonts w:ascii="Arial" w:hAnsi="Arial" w:cs="Arial"/>
        </w:rPr>
        <w:t xml:space="preserve"> Табела </w:t>
      </w:r>
      <w:proofErr w:type="gramStart"/>
      <w:r>
        <w:rPr>
          <w:rFonts w:ascii="Arial" w:hAnsi="Arial" w:cs="Arial"/>
        </w:rPr>
        <w:t>1.,</w:t>
      </w:r>
      <w:proofErr w:type="gramEnd"/>
      <w:r>
        <w:rPr>
          <w:rFonts w:ascii="Arial" w:hAnsi="Arial" w:cs="Arial"/>
        </w:rPr>
        <w:t xml:space="preserve"> Табела 2. </w:t>
      </w:r>
      <w:proofErr w:type="gramStart"/>
      <w:r>
        <w:rPr>
          <w:rFonts w:ascii="Arial" w:hAnsi="Arial" w:cs="Arial"/>
        </w:rPr>
        <w:t>итд.).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Поред броја и назива табеле морају имати извор података.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Графикони и др.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долазе</w:t>
      </w:r>
      <w:proofErr w:type="gramEnd"/>
      <w:r>
        <w:rPr>
          <w:rFonts w:ascii="Arial" w:hAnsi="Arial" w:cs="Arial"/>
        </w:rPr>
        <w:t xml:space="preserve"> унутар самог текста, а морају имати број, назив и извор података.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Нумеришу се у континуитету арапским бројевима (посебно графикони, посебно шеме и др.).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Број и наслов наводи се изнад табеле, графикона, шеме, фотографија и сл.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Извори података наводе се испод табела, графикона, фотографија, шема итд.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Коришћење скраћеница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57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 у завршном раду може користити скраћенице.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Када се у тексту први пут уводи нека скраћеница потребно ју је објаснити на српском језику и исписати пун назив.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Даље се у тексту може користити само скраћеница.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Стране речи за које не постоји одговарајући српски назив или које се нису уврежиле у српском језику потребно је у тексту написати косим словима (италик).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0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Нумерисање страница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58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 нумерацију страница користе се арапски бројеви.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Прва страница Увода је прва страница од које започиње нумерација.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Странице које претходе Уводу завршног рада не нумеришу се.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338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pStyle w:val="Heading2"/>
        <w:spacing w:after="344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5.4. Поступак одбране завршног/мастер рада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59 </w:t>
      </w:r>
    </w:p>
    <w:p w:rsidR="00EA64D9" w:rsidRDefault="00EA64D9" w:rsidP="00EA64D9">
      <w:pPr>
        <w:spacing w:after="230"/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Извештај о подобности мастер рада за одбрану ментор доставља Студентској служби, најкасније у року од 30 дана од пријема рада на читање.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60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Мастер рад са Извештајем ментора, изузев ако је рад враћен на дораду, ставља се на увид јавности 15 дана.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Обавештење о стављању рада на увид јавности објављује се на огласној табли Школе и на сајту Школе.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28"/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После истека рока из став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овог</w:t>
      </w:r>
      <w:proofErr w:type="gramEnd"/>
      <w:r>
        <w:rPr>
          <w:rFonts w:ascii="Arial" w:hAnsi="Arial" w:cs="Arial"/>
        </w:rPr>
        <w:t xml:space="preserve"> члана, уколико су достављене примедбе у писаној форми, Секретаријат доставља примедбе ментору, који је дужан да их размотри током одбране рада.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61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Након протека рока за увид јавности, ментор у договору са кандидатом и члановима Комисије одређује термин одбране мастер рада и о томе обавештава Студентску службу.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230"/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Студентска службу доставља студенту обавештење о времену и месту јавне одбране мастер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97" w:line="256" w:lineRule="auto"/>
        <w:ind w:right="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62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Када ментор закључи да мастер рад није подобан за одбрану (негативан Извештај), позива кандидата да у року од два месеца достави поправљени текст.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Студентска служба обавештава студента о закључку Kомисије. Ово обавештење, заједно са примедбама Kомисије, доставља се студенту препорученим писмом.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Одбрана мастер рада је јавна, а одржава се у службеним просторијама Школе. Оглашава се на огласној табли Школе најкасније пет дана пре одбране.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Током одбране мастер рада студент треба да покаже да је самостално израдио мастер рад на основу кога се могу извести закључци наведени у члану 52 овог Правилника.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Обрана завршног рада може трајати највише 45 минута.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Усмено излагање студента може трајати највише 20 минута.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Након што је образложио рад, студент одговара на питања чланова Комисије која треба да буду у вези са задатком завршног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Након што је студент одговорио на сва постављена питања, председник Комисије ће замолити студента да привремено напусти просторију, а за то време чланови Комисије ће размотрити усмено излагање студента, његове одговоре на постављена питања и на основу тога утврдити коначну оцену завршног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 се поновно позива, а председник Комисије му саопштава резултат одбране мастер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spacing w:after="338" w:line="256" w:lineRule="auto"/>
        <w:ind w:left="0" w:righ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64D9" w:rsidRDefault="00EA64D9" w:rsidP="00EA64D9">
      <w:pPr>
        <w:pStyle w:val="Heading2"/>
        <w:spacing w:after="346"/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5.5 Оцењивање мастер рада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63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Завршни/мастер рад оцењује се посебно за израду рада а посебно за усмено излагањеодбрану рада.</w:t>
      </w:r>
      <w:proofErr w:type="gramEnd"/>
      <w:r>
        <w:rPr>
          <w:rFonts w:ascii="Arial" w:hAnsi="Arial" w:cs="Arial"/>
        </w:rPr>
        <w:t xml:space="preserve">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Комисија је дужна да пре усмене одбране прегледа и оцени мастер рад.</w:t>
      </w:r>
      <w:proofErr w:type="gramEnd"/>
      <w:r>
        <w:rPr>
          <w:rFonts w:ascii="Arial" w:hAnsi="Arial" w:cs="Arial"/>
        </w:rPr>
        <w:t xml:space="preserve">  </w:t>
      </w:r>
    </w:p>
    <w:p w:rsidR="00EA64D9" w:rsidRDefault="00EA64D9" w:rsidP="00EA64D9">
      <w:pPr>
        <w:ind w:left="-5" w:right="0"/>
        <w:rPr>
          <w:rFonts w:ascii="Arial" w:hAnsi="Arial" w:cs="Arial"/>
        </w:rPr>
      </w:pPr>
      <w:r>
        <w:rPr>
          <w:rFonts w:ascii="Arial" w:hAnsi="Arial" w:cs="Arial"/>
        </w:rPr>
        <w:t xml:space="preserve">Мастер рада се оцењује у складу </w:t>
      </w:r>
      <w:proofErr w:type="gramStart"/>
      <w:r>
        <w:rPr>
          <w:rFonts w:ascii="Arial" w:hAnsi="Arial" w:cs="Arial"/>
        </w:rPr>
        <w:t>са  студијским</w:t>
      </w:r>
      <w:proofErr w:type="gramEnd"/>
      <w:r>
        <w:rPr>
          <w:rFonts w:ascii="Arial" w:hAnsi="Arial" w:cs="Arial"/>
        </w:rPr>
        <w:t xml:space="preserve"> програмом и оценама утврђеним  Правилником о полагању испита. </w:t>
      </w:r>
    </w:p>
    <w:p w:rsidR="00EA64D9" w:rsidRDefault="00EA64D9" w:rsidP="00EA64D9">
      <w:pPr>
        <w:spacing w:after="97" w:line="256" w:lineRule="auto"/>
        <w:ind w:right="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Члан 64 </w:t>
      </w:r>
    </w:p>
    <w:p w:rsidR="00EA64D9" w:rsidRDefault="00EA64D9" w:rsidP="00EA64D9">
      <w:pPr>
        <w:spacing w:after="230"/>
        <w:ind w:left="-5" w:righ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Студент коме није дозвољено да приступити усменој одбрани завршног/мастер рада или који није одбранио завршни рад може да затражи избор нове теме у складу са новим задатком.</w:t>
      </w:r>
      <w:proofErr w:type="gramEnd"/>
      <w:r>
        <w:rPr>
          <w:rFonts w:ascii="Arial" w:hAnsi="Arial" w:cs="Arial"/>
        </w:rPr>
        <w:t xml:space="preserve"> </w:t>
      </w:r>
    </w:p>
    <w:p w:rsidR="00A33148" w:rsidRDefault="00A33148"/>
    <w:sectPr w:rsidR="00A33148" w:rsidSect="00A33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4246"/>
    <w:multiLevelType w:val="hybridMultilevel"/>
    <w:tmpl w:val="6FEE6DF0"/>
    <w:lvl w:ilvl="0" w:tplc="0B3AFD2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688591A">
      <w:start w:val="1"/>
      <w:numFmt w:val="bullet"/>
      <w:lvlText w:val="o"/>
      <w:lvlJc w:val="left"/>
      <w:pPr>
        <w:ind w:left="14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729320">
      <w:start w:val="1"/>
      <w:numFmt w:val="bullet"/>
      <w:lvlText w:val="▪"/>
      <w:lvlJc w:val="left"/>
      <w:pPr>
        <w:ind w:left="21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C580022">
      <w:start w:val="1"/>
      <w:numFmt w:val="bullet"/>
      <w:lvlText w:val="•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42151E">
      <w:start w:val="1"/>
      <w:numFmt w:val="bullet"/>
      <w:lvlText w:val="o"/>
      <w:lvlJc w:val="left"/>
      <w:pPr>
        <w:ind w:left="35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2106252">
      <w:start w:val="1"/>
      <w:numFmt w:val="bullet"/>
      <w:lvlText w:val="▪"/>
      <w:lvlJc w:val="left"/>
      <w:pPr>
        <w:ind w:left="43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E0CA96">
      <w:start w:val="1"/>
      <w:numFmt w:val="bullet"/>
      <w:lvlText w:val="•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2096D4">
      <w:start w:val="1"/>
      <w:numFmt w:val="bullet"/>
      <w:lvlText w:val="o"/>
      <w:lvlJc w:val="left"/>
      <w:pPr>
        <w:ind w:left="57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A422ED6">
      <w:start w:val="1"/>
      <w:numFmt w:val="bullet"/>
      <w:lvlText w:val="▪"/>
      <w:lvlJc w:val="left"/>
      <w:pPr>
        <w:ind w:left="64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20"/>
  <w:characterSpacingControl w:val="doNotCompress"/>
  <w:compat/>
  <w:rsids>
    <w:rsidRoot w:val="00EA64D9"/>
    <w:rsid w:val="006F045B"/>
    <w:rsid w:val="00A33148"/>
    <w:rsid w:val="00D14E3E"/>
    <w:rsid w:val="00EA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D9"/>
    <w:pPr>
      <w:spacing w:after="4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semiHidden/>
    <w:unhideWhenUsed/>
    <w:qFormat/>
    <w:rsid w:val="00EA64D9"/>
    <w:pPr>
      <w:keepNext/>
      <w:keepLines/>
      <w:spacing w:after="4" w:line="249" w:lineRule="auto"/>
      <w:ind w:left="10" w:right="3" w:hanging="10"/>
      <w:jc w:val="both"/>
      <w:outlineLvl w:val="1"/>
    </w:pPr>
    <w:rPr>
      <w:rFonts w:ascii="Calibri" w:eastAsia="Calibri" w:hAnsi="Calibri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64D9"/>
    <w:rPr>
      <w:rFonts w:ascii="Calibri" w:eastAsia="Calibri" w:hAnsi="Calibri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1391</Words>
  <Characters>7935</Characters>
  <Application>Microsoft Office Word</Application>
  <DocSecurity>0</DocSecurity>
  <Lines>66</Lines>
  <Paragraphs>18</Paragraphs>
  <ScaleCrop>false</ScaleCrop>
  <Company>Deftones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3</cp:revision>
  <dcterms:created xsi:type="dcterms:W3CDTF">2019-09-26T10:50:00Z</dcterms:created>
  <dcterms:modified xsi:type="dcterms:W3CDTF">2019-10-07T10:34:00Z</dcterms:modified>
</cp:coreProperties>
</file>